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D72FD2" w:rsidRPr="002F5D22">
        <w:rPr>
          <w:bCs/>
          <w:sz w:val="22"/>
        </w:rPr>
        <w:t>S3-151</w:t>
      </w:r>
      <w:r w:rsidR="002F5D22" w:rsidRPr="002F5D22">
        <w:rPr>
          <w:bCs/>
          <w:sz w:val="22"/>
        </w:rPr>
        <w:t>798</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72FD2">
        <w:rPr>
          <w:rFonts w:ascii="Arial" w:eastAsia="MS Mincho" w:hAnsi="Arial"/>
          <w:b/>
          <w:lang w:eastAsia="ja-JP"/>
        </w:rPr>
        <w:t xml:space="preserve">pCR to </w:t>
      </w:r>
      <w:r w:rsidR="00A774B6">
        <w:rPr>
          <w:rFonts w:ascii="Arial" w:eastAsia="MS Mincho" w:hAnsi="Arial"/>
          <w:b/>
          <w:lang w:eastAsia="ja-JP"/>
        </w:rPr>
        <w:t xml:space="preserve">TR </w:t>
      </w:r>
      <w:r w:rsidR="00D72FD2">
        <w:rPr>
          <w:rFonts w:ascii="Arial" w:eastAsia="MS Mincho" w:hAnsi="Arial"/>
          <w:b/>
          <w:lang w:eastAsia="ja-JP"/>
        </w:rPr>
        <w:t>33.</w:t>
      </w:r>
      <w:r w:rsidR="00A774B6">
        <w:rPr>
          <w:rFonts w:ascii="Arial" w:eastAsia="MS Mincho" w:hAnsi="Arial"/>
          <w:b/>
          <w:lang w:eastAsia="ja-JP"/>
        </w:rPr>
        <w:t>863 (CIoT BEST) on end-to-middle security solution based on AKA</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C3C8A">
        <w:rPr>
          <w:rFonts w:ascii="Arial" w:eastAsia="MS Mincho" w:hAnsi="Arial"/>
          <w:b/>
          <w:lang w:eastAsia="ja-JP"/>
        </w:rPr>
        <w:t>Discussion</w:t>
      </w:r>
      <w:r w:rsidR="00A774B6">
        <w:rPr>
          <w:rFonts w:ascii="Arial" w:eastAsia="MS Mincho" w:hAnsi="Arial"/>
          <w:b/>
          <w:lang w:eastAsia="ja-JP"/>
        </w:rPr>
        <w:t xml:space="preserve"> and Decision</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774B6">
        <w:rPr>
          <w:rFonts w:ascii="Arial" w:eastAsia="MS Mincho" w:hAnsi="Arial"/>
          <w:b/>
          <w:lang w:eastAsia="ja-JP"/>
        </w:rPr>
        <w:t>8.7.2</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0A0E85">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FC3886" w:rsidRPr="00D72FD2" w:rsidRDefault="00D72FD2" w:rsidP="00C45437">
      <w:pPr>
        <w:rPr>
          <w:rFonts w:eastAsia="MS Mincho"/>
          <w:i/>
          <w:lang w:eastAsia="ja-JP"/>
        </w:rPr>
      </w:pPr>
      <w:r>
        <w:rPr>
          <w:rFonts w:eastAsia="MS Mincho"/>
          <w:i/>
          <w:lang w:eastAsia="ja-JP"/>
        </w:rPr>
        <w:t>The present pCR</w:t>
      </w:r>
      <w:r w:rsidR="00A774B6">
        <w:rPr>
          <w:rFonts w:eastAsia="MS Mincho"/>
          <w:i/>
          <w:lang w:eastAsia="ja-JP"/>
        </w:rPr>
        <w:t xml:space="preserve"> proposes</w:t>
      </w:r>
      <w:r>
        <w:rPr>
          <w:rFonts w:eastAsia="MS Mincho"/>
          <w:i/>
          <w:lang w:eastAsia="ja-JP"/>
        </w:rPr>
        <w:t xml:space="preserve"> </w:t>
      </w:r>
      <w:r w:rsidR="00A774B6">
        <w:rPr>
          <w:rFonts w:eastAsia="MS Mincho"/>
          <w:i/>
          <w:lang w:eastAsia="ja-JP"/>
        </w:rPr>
        <w:t>a generalisation of solution#1 in TR 33.863</w:t>
      </w:r>
      <w:r w:rsidR="00A736AA">
        <w:rPr>
          <w:rFonts w:eastAsia="MS Mincho"/>
          <w:i/>
          <w:lang w:eastAsia="ja-JP"/>
        </w:rPr>
        <w:t xml:space="preserve">. </w:t>
      </w:r>
      <w:r w:rsidR="00FA7133">
        <w:rPr>
          <w:rFonts w:eastAsia="MS Mincho"/>
          <w:i/>
          <w:lang w:eastAsia="ja-JP"/>
        </w:rPr>
        <w:t>We call this generalised solution “end</w:t>
      </w:r>
      <w:r w:rsidR="00FA7133" w:rsidRPr="00FA7133">
        <w:rPr>
          <w:rFonts w:eastAsia="MS Mincho"/>
          <w:i/>
          <w:lang w:eastAsia="ja-JP"/>
        </w:rPr>
        <w:t>-to-middle security solution based on AKA</w:t>
      </w:r>
      <w:r w:rsidR="00FA7133">
        <w:rPr>
          <w:rFonts w:eastAsia="MS Mincho"/>
          <w:i/>
          <w:lang w:eastAsia="ja-JP"/>
        </w:rPr>
        <w:t xml:space="preserve">”. We </w:t>
      </w:r>
      <w:r w:rsidR="005E3E7D">
        <w:rPr>
          <w:rFonts w:eastAsia="MS Mincho"/>
          <w:i/>
          <w:lang w:eastAsia="ja-JP"/>
        </w:rPr>
        <w:t xml:space="preserve">decided to </w:t>
      </w:r>
      <w:r w:rsidR="00FA7133">
        <w:rPr>
          <w:rFonts w:eastAsia="MS Mincho"/>
          <w:i/>
          <w:lang w:eastAsia="ja-JP"/>
        </w:rPr>
        <w:t>present it as a separate solution although it re-uses the major elements of solution#1</w:t>
      </w:r>
      <w:r w:rsidR="008D0635">
        <w:rPr>
          <w:rFonts w:eastAsia="MS Mincho"/>
          <w:i/>
          <w:lang w:eastAsia="ja-JP"/>
        </w:rPr>
        <w:t xml:space="preserve"> in clause 6.1</w:t>
      </w:r>
      <w:r w:rsidR="00FA7133">
        <w:rPr>
          <w:rFonts w:eastAsia="MS Mincho"/>
          <w:i/>
          <w:lang w:eastAsia="ja-JP"/>
        </w:rPr>
        <w:t xml:space="preserve">. </w:t>
      </w:r>
      <w:r w:rsidR="005E3E7D">
        <w:rPr>
          <w:rFonts w:eastAsia="MS Mincho"/>
          <w:i/>
          <w:lang w:eastAsia="ja-JP"/>
        </w:rPr>
        <w:t xml:space="preserve">We also thought of the alternative to </w:t>
      </w:r>
      <w:r w:rsidR="00FA7133">
        <w:rPr>
          <w:rFonts w:eastAsia="MS Mincho"/>
          <w:i/>
          <w:lang w:eastAsia="ja-JP"/>
        </w:rPr>
        <w:t xml:space="preserve">integrate the elements of the new solution into the description of solution#1; however, </w:t>
      </w:r>
      <w:r w:rsidR="005E3E7D">
        <w:rPr>
          <w:rFonts w:eastAsia="MS Mincho"/>
          <w:i/>
          <w:lang w:eastAsia="ja-JP"/>
        </w:rPr>
        <w:t>we refrained from it as it</w:t>
      </w:r>
      <w:r w:rsidR="00FA7133">
        <w:rPr>
          <w:rFonts w:eastAsia="MS Mincho"/>
          <w:i/>
          <w:lang w:eastAsia="ja-JP"/>
        </w:rPr>
        <w:t xml:space="preserve"> may create additional editorial work and </w:t>
      </w:r>
      <w:r w:rsidR="005E3E7D">
        <w:rPr>
          <w:rFonts w:eastAsia="MS Mincho"/>
          <w:i/>
          <w:lang w:eastAsia="ja-JP"/>
        </w:rPr>
        <w:t>may make solution#1 more difficult to read</w:t>
      </w:r>
      <w:r w:rsidR="00FA7133">
        <w:rPr>
          <w:rFonts w:eastAsia="MS Mincho"/>
          <w:i/>
          <w:lang w:eastAsia="ja-JP"/>
        </w:rPr>
        <w:t xml:space="preserve">. </w:t>
      </w:r>
    </w:p>
    <w:p w:rsidR="00FC3886" w:rsidRDefault="00A736AA" w:rsidP="00FC3886">
      <w:pPr>
        <w:pStyle w:val="Heading1"/>
      </w:pPr>
      <w:r>
        <w:t>Introduction</w:t>
      </w:r>
    </w:p>
    <w:p w:rsidR="00852D13" w:rsidRDefault="00D72FD2" w:rsidP="00D06B90">
      <w:pPr>
        <w:rPr>
          <w:rFonts w:eastAsia="MS Mincho"/>
          <w:lang w:eastAsia="ja-JP"/>
        </w:rPr>
      </w:pPr>
      <w:r w:rsidRPr="00D72FD2">
        <w:t xml:space="preserve">The </w:t>
      </w:r>
      <w:r w:rsidR="00D06B90">
        <w:rPr>
          <w:rFonts w:eastAsia="MS Mincho"/>
          <w:lang w:eastAsia="ja-JP"/>
        </w:rPr>
        <w:t xml:space="preserve">main idea of solution#1 in clause 6.1 of </w:t>
      </w:r>
      <w:r w:rsidR="00D06B90" w:rsidRPr="00D06B90">
        <w:rPr>
          <w:rFonts w:eastAsia="MS Mincho"/>
          <w:lang w:eastAsia="ja-JP"/>
        </w:rPr>
        <w:t>TR 33.863</w:t>
      </w:r>
      <w:r w:rsidR="00D06B90">
        <w:rPr>
          <w:rFonts w:eastAsia="MS Mincho"/>
          <w:lang w:eastAsia="ja-JP"/>
        </w:rPr>
        <w:t xml:space="preserve"> is using AKA (UMTS AKA or EPS AKA) for deriving an additional key for use at a higher protocol layer run between the UE and an entity called HSE (</w:t>
      </w:r>
      <w:r w:rsidR="00D06B90">
        <w:t>HPLMN Security Endpoint</w:t>
      </w:r>
      <w:r w:rsidR="00D06B90">
        <w:rPr>
          <w:rFonts w:eastAsia="MS Mincho"/>
          <w:lang w:eastAsia="ja-JP"/>
        </w:rPr>
        <w:t>). One could think of</w:t>
      </w:r>
      <w:r w:rsidR="00186921">
        <w:rPr>
          <w:rFonts w:eastAsia="MS Mincho"/>
          <w:lang w:eastAsia="ja-JP"/>
        </w:rPr>
        <w:t xml:space="preserve"> the derivation of</w:t>
      </w:r>
      <w:r w:rsidR="00D06B90">
        <w:rPr>
          <w:rFonts w:eastAsia="MS Mincho"/>
          <w:lang w:eastAsia="ja-JP"/>
        </w:rPr>
        <w:t xml:space="preserve"> this additional key as </w:t>
      </w:r>
      <w:r w:rsidR="00186921">
        <w:rPr>
          <w:rFonts w:eastAsia="MS Mincho"/>
          <w:lang w:eastAsia="ja-JP"/>
        </w:rPr>
        <w:t>being</w:t>
      </w:r>
      <w:r w:rsidR="00D06B90">
        <w:rPr>
          <w:rFonts w:eastAsia="MS Mincho"/>
          <w:lang w:eastAsia="ja-JP"/>
        </w:rPr>
        <w:t xml:space="preserve"> analogous to the </w:t>
      </w:r>
      <w:r w:rsidR="00186921">
        <w:rPr>
          <w:rFonts w:eastAsia="MS Mincho"/>
          <w:lang w:eastAsia="ja-JP"/>
        </w:rPr>
        <w:t xml:space="preserve">derivation of the </w:t>
      </w:r>
      <w:r w:rsidR="00D06B90">
        <w:rPr>
          <w:rFonts w:eastAsia="MS Mincho"/>
          <w:lang w:eastAsia="ja-JP"/>
        </w:rPr>
        <w:t xml:space="preserve">EMSK in a run of EAP-AKA. The analogy is useful as it shows that a wider range of use cases than the one envisaged in solution#1 is possible. In particular, there could be multiple such endpoints, and they would not necessarily have to reside in an operator’s home network. </w:t>
      </w:r>
    </w:p>
    <w:p w:rsidR="00D06B90" w:rsidRDefault="00D06B90" w:rsidP="00D06B90">
      <w:pPr>
        <w:rPr>
          <w:rFonts w:eastAsia="MS Mincho"/>
          <w:lang w:eastAsia="ja-JP"/>
        </w:rPr>
      </w:pPr>
      <w:r>
        <w:rPr>
          <w:rFonts w:eastAsia="MS Mincho"/>
          <w:lang w:eastAsia="ja-JP"/>
        </w:rPr>
        <w:t xml:space="preserve">We therefore call our </w:t>
      </w:r>
      <w:r w:rsidRPr="00D06B90">
        <w:rPr>
          <w:rFonts w:eastAsia="MS Mincho"/>
          <w:lang w:eastAsia="ja-JP"/>
        </w:rPr>
        <w:t>generalised solution</w:t>
      </w:r>
      <w:r w:rsidR="00186921">
        <w:rPr>
          <w:rFonts w:eastAsia="MS Mincho"/>
          <w:lang w:eastAsia="ja-JP"/>
        </w:rPr>
        <w:t>#x</w:t>
      </w:r>
      <w:r w:rsidRPr="00D06B90">
        <w:rPr>
          <w:rFonts w:eastAsia="MS Mincho"/>
          <w:lang w:eastAsia="ja-JP"/>
        </w:rPr>
        <w:t xml:space="preserve"> “end-to-middle security based on AKA”.</w:t>
      </w:r>
    </w:p>
    <w:p w:rsidR="00FF6B07" w:rsidRDefault="00FF6B07" w:rsidP="00D06B90">
      <w:pPr>
        <w:rPr>
          <w:rFonts w:eastAsia="MS Mincho"/>
          <w:lang w:eastAsia="ja-JP"/>
        </w:rPr>
      </w:pPr>
      <w:r>
        <w:rPr>
          <w:rFonts w:eastAsia="MS Mincho"/>
          <w:lang w:eastAsia="ja-JP"/>
        </w:rPr>
        <w:t xml:space="preserve">In particular, we propose generalisations in the following areas: </w:t>
      </w:r>
    </w:p>
    <w:p w:rsidR="00FF6B07" w:rsidRDefault="00FF6B07" w:rsidP="00FF6B07">
      <w:pPr>
        <w:pStyle w:val="ListParagraph"/>
        <w:numPr>
          <w:ilvl w:val="0"/>
          <w:numId w:val="23"/>
        </w:numPr>
        <w:rPr>
          <w:rFonts w:eastAsia="MS Mincho"/>
          <w:lang w:eastAsia="ja-JP"/>
        </w:rPr>
      </w:pPr>
      <w:r w:rsidRPr="00FF6B07">
        <w:rPr>
          <w:rFonts w:eastAsia="MS Mincho"/>
          <w:lang w:eastAsia="ja-JP"/>
        </w:rPr>
        <w:t>Transparency for the GPRS and EPS core networks</w:t>
      </w:r>
    </w:p>
    <w:p w:rsidR="00186921" w:rsidRPr="00FF6B07" w:rsidRDefault="00186921" w:rsidP="00FF6B07">
      <w:pPr>
        <w:pStyle w:val="ListParagraph"/>
        <w:numPr>
          <w:ilvl w:val="0"/>
          <w:numId w:val="23"/>
        </w:numPr>
        <w:rPr>
          <w:rFonts w:eastAsia="MS Mincho"/>
          <w:lang w:eastAsia="ja-JP"/>
        </w:rPr>
      </w:pPr>
      <w:r w:rsidRPr="00FF6B07">
        <w:rPr>
          <w:rFonts w:eastAsia="MS Mincho"/>
          <w:lang w:eastAsia="ja-JP"/>
        </w:rPr>
        <w:t>Transparency for the</w:t>
      </w:r>
      <w:r>
        <w:rPr>
          <w:rFonts w:eastAsia="MS Mincho"/>
          <w:lang w:eastAsia="ja-JP"/>
        </w:rPr>
        <w:t xml:space="preserve"> USIM</w:t>
      </w:r>
    </w:p>
    <w:p w:rsidR="00F23024" w:rsidRDefault="00963254" w:rsidP="00F23024">
      <w:pPr>
        <w:pStyle w:val="ListParagraph"/>
        <w:numPr>
          <w:ilvl w:val="0"/>
          <w:numId w:val="23"/>
        </w:numPr>
        <w:rPr>
          <w:rFonts w:eastAsia="MS Mincho"/>
          <w:lang w:eastAsia="ja-JP"/>
        </w:rPr>
      </w:pPr>
      <w:r>
        <w:rPr>
          <w:rFonts w:eastAsia="MS Mincho"/>
          <w:lang w:eastAsia="ja-JP"/>
        </w:rPr>
        <w:t xml:space="preserve">Push vs. pull procedures </w:t>
      </w:r>
    </w:p>
    <w:p w:rsidR="00F0509C" w:rsidRDefault="00F0509C" w:rsidP="00F0509C">
      <w:pPr>
        <w:pStyle w:val="ListParagraph"/>
        <w:numPr>
          <w:ilvl w:val="0"/>
          <w:numId w:val="23"/>
        </w:numPr>
        <w:rPr>
          <w:rFonts w:eastAsia="MS Mincho"/>
          <w:lang w:eastAsia="ja-JP"/>
        </w:rPr>
      </w:pPr>
      <w:r w:rsidRPr="00FF6B07">
        <w:rPr>
          <w:rFonts w:eastAsia="MS Mincho"/>
          <w:lang w:eastAsia="ja-JP"/>
        </w:rPr>
        <w:t>Enhanced key derivation</w:t>
      </w:r>
    </w:p>
    <w:p w:rsidR="00FF6B07" w:rsidRPr="00FF6B07" w:rsidRDefault="00FF6B07" w:rsidP="00FF6B07">
      <w:pPr>
        <w:pStyle w:val="ListParagraph"/>
        <w:numPr>
          <w:ilvl w:val="0"/>
          <w:numId w:val="23"/>
        </w:numPr>
        <w:rPr>
          <w:rFonts w:eastAsia="MS Mincho"/>
          <w:lang w:eastAsia="ja-JP"/>
        </w:rPr>
      </w:pPr>
      <w:r w:rsidRPr="00FF6B07">
        <w:rPr>
          <w:rFonts w:eastAsia="MS Mincho"/>
          <w:lang w:eastAsia="ja-JP"/>
        </w:rPr>
        <w:t>CIoT-specific additions to the subscriber profile</w:t>
      </w:r>
    </w:p>
    <w:p w:rsidR="00FF6B07" w:rsidRDefault="00C146F3" w:rsidP="00D06B90">
      <w:r>
        <w:rPr>
          <w:rFonts w:eastAsia="MS Mincho"/>
          <w:lang w:eastAsia="ja-JP"/>
        </w:rPr>
        <w:t>As our solution for e2m security build</w:t>
      </w:r>
      <w:r w:rsidR="00DD18C6">
        <w:rPr>
          <w:rFonts w:eastAsia="MS Mincho"/>
          <w:lang w:eastAsia="ja-JP"/>
        </w:rPr>
        <w:t>s</w:t>
      </w:r>
      <w:r>
        <w:rPr>
          <w:rFonts w:eastAsia="MS Mincho"/>
          <w:lang w:eastAsia="ja-JP"/>
        </w:rPr>
        <w:t xml:space="preserve"> on solution#1, we present it as a delta description to solution#1, i.e. the description of our solution contains only those elements that differ from solution#1. </w:t>
      </w:r>
    </w:p>
    <w:p w:rsidR="00A736AA" w:rsidRDefault="00D06B90" w:rsidP="00A736AA">
      <w:pPr>
        <w:pStyle w:val="Heading1"/>
      </w:pPr>
      <w:proofErr w:type="gramStart"/>
      <w:r>
        <w:t>pCR</w:t>
      </w:r>
      <w:proofErr w:type="gramEnd"/>
      <w:r>
        <w:t xml:space="preserve"> to TS 33.863 v 0.2.0</w:t>
      </w:r>
    </w:p>
    <w:p w:rsidR="00C146F3" w:rsidRPr="0018764E" w:rsidRDefault="00C146F3" w:rsidP="0017193E">
      <w:pPr>
        <w:rPr>
          <w:rFonts w:eastAsia="MS Mincho"/>
          <w:lang w:eastAsia="ja-JP"/>
        </w:rPr>
      </w:pPr>
      <w:r w:rsidRPr="0018764E">
        <w:rPr>
          <w:rFonts w:eastAsia="MS Mincho"/>
          <w:highlight w:val="yellow"/>
          <w:lang w:eastAsia="ja-JP"/>
        </w:rPr>
        <w:t xml:space="preserve">All the text below is new, so we refrain from using </w:t>
      </w:r>
      <w:r w:rsidR="00066534">
        <w:rPr>
          <w:rFonts w:eastAsia="MS Mincho"/>
          <w:highlight w:val="yellow"/>
          <w:lang w:eastAsia="ja-JP"/>
        </w:rPr>
        <w:t>revision marks</w:t>
      </w:r>
    </w:p>
    <w:p w:rsidR="0017193E" w:rsidRPr="0017193E" w:rsidRDefault="0017193E" w:rsidP="0017193E">
      <w:pPr>
        <w:rPr>
          <w:sz w:val="28"/>
          <w:szCs w:val="28"/>
        </w:rPr>
      </w:pPr>
      <w:r w:rsidRPr="0017193E">
        <w:rPr>
          <w:sz w:val="28"/>
          <w:szCs w:val="28"/>
        </w:rPr>
        <w:t>***********************START</w:t>
      </w:r>
      <w:r>
        <w:rPr>
          <w:sz w:val="28"/>
          <w:szCs w:val="28"/>
        </w:rPr>
        <w:t xml:space="preserve"> OF CHANGES*********</w:t>
      </w:r>
      <w:r w:rsidRPr="0017193E">
        <w:rPr>
          <w:sz w:val="28"/>
          <w:szCs w:val="28"/>
        </w:rPr>
        <w:t>************</w:t>
      </w:r>
    </w:p>
    <w:p w:rsidR="00C146F3" w:rsidRDefault="00C146F3" w:rsidP="00C146F3">
      <w:pPr>
        <w:pStyle w:val="Heading2"/>
        <w:numPr>
          <w:ilvl w:val="0"/>
          <w:numId w:val="0"/>
        </w:numPr>
        <w:ind w:left="1002" w:hanging="576"/>
      </w:pPr>
      <w:bookmarkStart w:id="0" w:name="_Toc414982529"/>
      <w:bookmarkStart w:id="1" w:name="_Toc292121658"/>
      <w:proofErr w:type="gramStart"/>
      <w:r>
        <w:t>6.x</w:t>
      </w:r>
      <w:proofErr w:type="gramEnd"/>
      <w:r w:rsidRPr="00235394">
        <w:tab/>
      </w:r>
      <w:r>
        <w:t>Solution #x: “</w:t>
      </w:r>
      <w:bookmarkEnd w:id="0"/>
      <w:r w:rsidRPr="00D06B90">
        <w:rPr>
          <w:rFonts w:eastAsia="MS Mincho"/>
          <w:lang w:eastAsia="ja-JP"/>
        </w:rPr>
        <w:t>End-to-middle security based on AKA</w:t>
      </w:r>
      <w:bookmarkEnd w:id="1"/>
      <w:r>
        <w:rPr>
          <w:rFonts w:eastAsia="MS Mincho"/>
          <w:lang w:eastAsia="ja-JP"/>
        </w:rPr>
        <w:t>”</w:t>
      </w:r>
    </w:p>
    <w:p w:rsidR="00C146F3" w:rsidRDefault="00C146F3" w:rsidP="00C146F3">
      <w:pPr>
        <w:pStyle w:val="Heading3"/>
        <w:numPr>
          <w:ilvl w:val="0"/>
          <w:numId w:val="0"/>
        </w:numPr>
        <w:ind w:left="862" w:hanging="720"/>
      </w:pPr>
      <w:bookmarkStart w:id="2" w:name="_Toc414982530"/>
      <w:bookmarkStart w:id="3" w:name="_Toc292121659"/>
      <w:proofErr w:type="gramStart"/>
      <w:r>
        <w:t>6.x.1</w:t>
      </w:r>
      <w:proofErr w:type="gramEnd"/>
      <w:r>
        <w:tab/>
        <w:t>Introduction</w:t>
      </w:r>
      <w:bookmarkEnd w:id="2"/>
      <w:bookmarkEnd w:id="3"/>
    </w:p>
    <w:p w:rsidR="00C146F3" w:rsidRDefault="0018764E" w:rsidP="00C146F3">
      <w:r>
        <w:t>Terminology: “</w:t>
      </w:r>
      <w:r w:rsidRPr="00D06B90">
        <w:rPr>
          <w:rFonts w:eastAsia="MS Mincho"/>
          <w:lang w:eastAsia="ja-JP"/>
        </w:rPr>
        <w:t>End-to-middle</w:t>
      </w:r>
      <w:r>
        <w:t>” is abbreviated as “e2m”.</w:t>
      </w:r>
    </w:p>
    <w:p w:rsidR="0018764E" w:rsidRDefault="0018764E" w:rsidP="00C146F3">
      <w:pPr>
        <w:rPr>
          <w:rFonts w:eastAsia="MS Mincho"/>
          <w:lang w:eastAsia="ja-JP"/>
        </w:rPr>
      </w:pPr>
      <w:r>
        <w:t xml:space="preserve">The present solution </w:t>
      </w:r>
      <w:r>
        <w:rPr>
          <w:rFonts w:eastAsia="MS Mincho"/>
          <w:lang w:eastAsia="ja-JP"/>
        </w:rPr>
        <w:t>builds on solution#1. It is presented as a delta description to solution#1, i.e. the description of the present solution contains only those elements that differ from solution#1.</w:t>
      </w:r>
    </w:p>
    <w:p w:rsidR="0018764E" w:rsidRDefault="004918A8" w:rsidP="00C146F3">
      <w:pPr>
        <w:rPr>
          <w:rFonts w:eastAsia="MS Mincho"/>
          <w:lang w:eastAsia="ja-JP"/>
        </w:rPr>
      </w:pPr>
      <w:r>
        <w:rPr>
          <w:rFonts w:eastAsia="MS Mincho"/>
          <w:lang w:eastAsia="ja-JP"/>
        </w:rPr>
        <w:lastRenderedPageBreak/>
        <w:t>S</w:t>
      </w:r>
      <w:r w:rsidR="0018764E">
        <w:rPr>
          <w:rFonts w:eastAsia="MS Mincho"/>
          <w:lang w:eastAsia="ja-JP"/>
        </w:rPr>
        <w:t xml:space="preserve">olution#1 is explicitly meant for </w:t>
      </w:r>
      <w:r>
        <w:rPr>
          <w:rFonts w:eastAsia="MS Mincho"/>
          <w:lang w:eastAsia="ja-JP"/>
        </w:rPr>
        <w:t>“</w:t>
      </w:r>
      <w:r>
        <w:t>mobile network with a Cellular Internet-of-Things RAT</w:t>
      </w:r>
      <w:r>
        <w:rPr>
          <w:rFonts w:eastAsia="MS Mincho"/>
          <w:lang w:eastAsia="ja-JP"/>
        </w:rPr>
        <w:t xml:space="preserve">”. The present solution can be used for CIoT as well (which is why it is included in the present TR). It should be noted, though, that there is no technical reason why the present solution should be restricted to the CIoT use case; it can provide e2m security whenever AKA is run in a mobile network. </w:t>
      </w:r>
    </w:p>
    <w:p w:rsidR="00F64D08" w:rsidRDefault="004918A8" w:rsidP="00C146F3">
      <w:r>
        <w:rPr>
          <w:rFonts w:eastAsia="MS Mincho"/>
          <w:lang w:eastAsia="ja-JP"/>
        </w:rPr>
        <w:t xml:space="preserve">While solution#1terminates the additional user plane protection in a </w:t>
      </w:r>
      <w:r>
        <w:t xml:space="preserve">HPLMN Security Endpoint (HSE) the present solution is applicable to any endpoint that </w:t>
      </w:r>
      <w:r w:rsidR="00F64D08">
        <w:t>is authorised to</w:t>
      </w:r>
      <w:r w:rsidR="00066534">
        <w:t xml:space="preserve"> obtain </w:t>
      </w:r>
      <w:r>
        <w:t>e2m keys from the HSS.</w:t>
      </w:r>
      <w:r w:rsidR="00F64D08">
        <w:t xml:space="preserve"> We call this endpoint “E2M Security Endpoint” (EMSE). </w:t>
      </w:r>
    </w:p>
    <w:p w:rsidR="00F64D08" w:rsidRDefault="00F64D08" w:rsidP="00C146F3">
      <w:r>
        <w:t xml:space="preserve">An EMSE may reside in an operator’s home network, but also in a trusted third party domain (e.g. a CIoT application provider platform). </w:t>
      </w:r>
    </w:p>
    <w:p w:rsidR="004918A8" w:rsidRDefault="00F64D08" w:rsidP="00C146F3">
      <w:r>
        <w:t xml:space="preserve">There may be multiple </w:t>
      </w:r>
      <w:r w:rsidR="000A0E85">
        <w:t>instances of an</w:t>
      </w:r>
      <w:r>
        <w:t xml:space="preserve"> EMSE, with which a UE engages simultaneously or sequentially. </w:t>
      </w:r>
    </w:p>
    <w:p w:rsidR="00C146F3" w:rsidRDefault="00C146F3" w:rsidP="00C146F3">
      <w:pPr>
        <w:pStyle w:val="Heading3"/>
        <w:numPr>
          <w:ilvl w:val="0"/>
          <w:numId w:val="0"/>
        </w:numPr>
        <w:ind w:left="862" w:hanging="720"/>
      </w:pPr>
      <w:bookmarkStart w:id="4" w:name="_Toc414982531"/>
      <w:bookmarkStart w:id="5" w:name="_Toc292121660"/>
      <w:proofErr w:type="gramStart"/>
      <w:r>
        <w:t>6.x.2</w:t>
      </w:r>
      <w:proofErr w:type="gramEnd"/>
      <w:r>
        <w:tab/>
        <w:t>Solution description</w:t>
      </w:r>
      <w:bookmarkEnd w:id="4"/>
      <w:bookmarkEnd w:id="5"/>
    </w:p>
    <w:p w:rsidR="00C146F3" w:rsidRDefault="00C146F3" w:rsidP="00C146F3">
      <w:pPr>
        <w:pStyle w:val="Heading4"/>
        <w:numPr>
          <w:ilvl w:val="0"/>
          <w:numId w:val="0"/>
        </w:numPr>
        <w:ind w:left="864" w:hanging="864"/>
        <w:rPr>
          <w:rFonts w:eastAsia="MS Mincho"/>
          <w:lang w:eastAsia="ja-JP"/>
        </w:rPr>
      </w:pPr>
      <w:bookmarkStart w:id="6" w:name="_Toc292121661"/>
      <w:proofErr w:type="gramStart"/>
      <w:r>
        <w:t>6.x.2.1</w:t>
      </w:r>
      <w:proofErr w:type="gramEnd"/>
      <w:r>
        <w:tab/>
      </w:r>
      <w:bookmarkEnd w:id="6"/>
      <w:r w:rsidR="00F11FB4" w:rsidRPr="00D06B90">
        <w:rPr>
          <w:rFonts w:eastAsia="MS Mincho"/>
          <w:lang w:eastAsia="ja-JP"/>
        </w:rPr>
        <w:t>End-to-middle security solution based on AKA</w:t>
      </w:r>
    </w:p>
    <w:p w:rsidR="00F11FB4" w:rsidRDefault="00AA15D2" w:rsidP="00F11FB4">
      <w:r>
        <w:rPr>
          <w:b/>
        </w:rPr>
        <w:t xml:space="preserve">Transparency for </w:t>
      </w:r>
      <w:r w:rsidR="00157CE6">
        <w:rPr>
          <w:b/>
        </w:rPr>
        <w:t>core network</w:t>
      </w:r>
      <w:r w:rsidR="007B5BC7">
        <w:rPr>
          <w:b/>
        </w:rPr>
        <w:t xml:space="preserve"> nodes</w:t>
      </w:r>
      <w:r w:rsidR="00F11FB4">
        <w:t xml:space="preserve">: </w:t>
      </w:r>
      <w:r w:rsidR="00157CE6">
        <w:br/>
        <w:t>SGSNs, GGSNs, MMEs, S-GWs, P-GWs may work with the present solution without any CIoT</w:t>
      </w:r>
      <w:r w:rsidR="007B5BC7">
        <w:t>-</w:t>
      </w:r>
      <w:r w:rsidR="00157CE6">
        <w:t xml:space="preserve">specific enhancements. This is not to say that such enhancements would not be useful for certain use cases,  but it means that there is no mandatory pre-condition on the UMTS or EPS core network elements. This </w:t>
      </w:r>
      <w:r w:rsidR="00157CE6" w:rsidRPr="00F23024">
        <w:t>transparency</w:t>
      </w:r>
      <w:r w:rsidR="00157CE6">
        <w:t xml:space="preserve"> of the solution for the core network is important for deployments as many operators may be reluctant to upgrade their core networks for the purpose of supporting CIoT.</w:t>
      </w:r>
      <w:r w:rsidR="007B5BC7">
        <w:t xml:space="preserve"> (To be sure, the HSS and HLR would need CIoT-specific enhancements.)</w:t>
      </w:r>
    </w:p>
    <w:p w:rsidR="00AA15D2" w:rsidRDefault="00157CE6" w:rsidP="00F11FB4">
      <w:r>
        <w:t>In contrast to the present solution, solution#1 put</w:t>
      </w:r>
      <w:r w:rsidR="00D9658A">
        <w:t>s</w:t>
      </w:r>
      <w:r>
        <w:t xml:space="preserve"> the following pre-condition: “The SGSN/MME has indicated the supported security configuration of the GERAN/E-UTRAN to the H-PLMN…</w:t>
      </w:r>
      <w:proofErr w:type="gramStart"/>
      <w:r>
        <w:t>”.</w:t>
      </w:r>
      <w:proofErr w:type="gramEnd"/>
      <w:r>
        <w:t xml:space="preserve"> Imposing such a pre-condition on access security reporting may be unnecessary for certain use cases as there is enhanced user plane protection anyhow provided by e2m security. </w:t>
      </w:r>
      <w:r w:rsidR="00AA15D2">
        <w:t xml:space="preserve">Furthermore, vulnerabilities to attacks in the signalling plane may be reduced through the particularities of the use case (e.g. meters and sensors that mostly have stationary UEs and UE-initiated traffic) and through the enforcement of minimum security requirements by the UE. </w:t>
      </w:r>
    </w:p>
    <w:p w:rsidR="00157CE6" w:rsidRDefault="00D9658A" w:rsidP="00F11FB4">
      <w:r>
        <w:rPr>
          <w:b/>
        </w:rPr>
        <w:t>Transparency for the USIM</w:t>
      </w:r>
      <w:r>
        <w:t xml:space="preserve">: </w:t>
      </w:r>
      <w:r>
        <w:br/>
      </w:r>
      <w:r w:rsidR="00E46715">
        <w:t>The possibility to re-use USIMs without CIoT-specific additions is important as particular CIoT use cases may not warrant the modification of USIMs for their purposes. The present solution can re-use existing USIMs. CIoT specific operations can be done in the ME</w:t>
      </w:r>
      <w:r w:rsidR="00DD18C6">
        <w:t>.</w:t>
      </w:r>
    </w:p>
    <w:p w:rsidR="00E46715" w:rsidRDefault="00E46715" w:rsidP="00F11FB4">
      <w:r>
        <w:t>In contrast to the present solution, solution#1 has the following text: “USIM … performs the following additional key derivations: - CK‘/IK‘…”</w:t>
      </w:r>
      <w:r w:rsidR="00B13453">
        <w:t xml:space="preserve"> and again “The key derivation function should be supported by the UICC…</w:t>
      </w:r>
      <w:proofErr w:type="gramStart"/>
      <w:r w:rsidR="00B13453">
        <w:t>”</w:t>
      </w:r>
      <w:r>
        <w:t>.</w:t>
      </w:r>
      <w:proofErr w:type="gramEnd"/>
      <w:r>
        <w:t xml:space="preserve"> These key derivations on the USIM are CIoT-specific.</w:t>
      </w:r>
    </w:p>
    <w:p w:rsidR="00E46715" w:rsidRPr="00E1448C" w:rsidRDefault="00E46715" w:rsidP="00E46715">
      <w:pPr>
        <w:pStyle w:val="NW"/>
        <w:rPr>
          <w:i/>
          <w:color w:val="FF0000"/>
        </w:rPr>
      </w:pPr>
      <w:r w:rsidRPr="00E1448C">
        <w:rPr>
          <w:i/>
          <w:color w:val="FF0000"/>
        </w:rPr>
        <w:t xml:space="preserve">Editor’s note: </w:t>
      </w:r>
      <w:r>
        <w:rPr>
          <w:i/>
          <w:color w:val="FF0000"/>
        </w:rPr>
        <w:t xml:space="preserve">It is ffs whether the key derivation as in the preceding sentence could be done in the ME also for solution#1. If </w:t>
      </w:r>
      <w:r w:rsidR="00134A6F">
        <w:rPr>
          <w:i/>
          <w:color w:val="FF0000"/>
        </w:rPr>
        <w:t>the description of solution#1 was modified accordingly</w:t>
      </w:r>
      <w:r>
        <w:rPr>
          <w:i/>
          <w:color w:val="FF0000"/>
        </w:rPr>
        <w:t xml:space="preserve"> then the preceding sentence</w:t>
      </w:r>
      <w:r w:rsidR="005422AE">
        <w:rPr>
          <w:i/>
          <w:color w:val="FF0000"/>
        </w:rPr>
        <w:t xml:space="preserve"> </w:t>
      </w:r>
      <w:r w:rsidR="00134A6F">
        <w:rPr>
          <w:i/>
          <w:color w:val="FF0000"/>
        </w:rPr>
        <w:t>could</w:t>
      </w:r>
      <w:r w:rsidR="005422AE">
        <w:rPr>
          <w:i/>
          <w:color w:val="FF0000"/>
        </w:rPr>
        <w:t xml:space="preserve"> be deleted. </w:t>
      </w:r>
    </w:p>
    <w:p w:rsidR="00FC23C7" w:rsidRPr="00FC23C7" w:rsidRDefault="00B13453" w:rsidP="00F11FB4">
      <w:pPr>
        <w:rPr>
          <w:rFonts w:eastAsia="MS Mincho"/>
          <w:b/>
          <w:lang w:eastAsia="ja-JP"/>
        </w:rPr>
      </w:pPr>
      <w:r>
        <w:rPr>
          <w:rFonts w:eastAsia="MS Mincho"/>
          <w:b/>
          <w:lang w:eastAsia="ja-JP"/>
        </w:rPr>
        <w:br/>
      </w:r>
      <w:r w:rsidR="00FC23C7" w:rsidRPr="00FC23C7">
        <w:rPr>
          <w:rFonts w:eastAsia="MS Mincho"/>
          <w:b/>
          <w:lang w:eastAsia="ja-JP"/>
        </w:rPr>
        <w:t>Push vs. pull procedures</w:t>
      </w:r>
      <w:r w:rsidR="00FC23C7">
        <w:rPr>
          <w:rFonts w:eastAsia="MS Mincho"/>
          <w:b/>
          <w:lang w:eastAsia="ja-JP"/>
        </w:rPr>
        <w:t xml:space="preserve"> </w:t>
      </w:r>
    </w:p>
    <w:p w:rsidR="00FC23C7" w:rsidRDefault="00FC23C7" w:rsidP="00F11FB4">
      <w:r>
        <w:t xml:space="preserve">The present solution can work with any of the push or pull procedure variants from solution#1. </w:t>
      </w:r>
    </w:p>
    <w:p w:rsidR="004648D8" w:rsidRDefault="00FC23C7" w:rsidP="00F11FB4">
      <w:r>
        <w:t xml:space="preserve">The pull procedure can </w:t>
      </w:r>
      <w:r w:rsidR="004648D8">
        <w:t>be described</w:t>
      </w:r>
      <w:r>
        <w:t xml:space="preserve"> as follows: When the EMSE receives a request (using the protocol pertinent for the communication between UE and EMSE) from the UE in the user plane, and the EMSE has no e2m key to securely communicate with the UE, then the EMSE pulls the e2m key from the HSS. </w:t>
      </w:r>
    </w:p>
    <w:p w:rsidR="00FC23C7" w:rsidRPr="00E1448C" w:rsidRDefault="00FC23C7" w:rsidP="00FC23C7">
      <w:pPr>
        <w:pStyle w:val="NW"/>
        <w:rPr>
          <w:i/>
          <w:color w:val="FF0000"/>
        </w:rPr>
      </w:pPr>
      <w:r w:rsidRPr="00E1448C">
        <w:rPr>
          <w:i/>
          <w:color w:val="FF0000"/>
        </w:rPr>
        <w:t xml:space="preserve">Editor’s note: </w:t>
      </w:r>
      <w:r>
        <w:rPr>
          <w:i/>
          <w:color w:val="FF0000"/>
        </w:rPr>
        <w:t xml:space="preserve">For solution#1, a pull procedure is only mentioned in the Introduction, but not described. If such a description becomes available for solution#1 then the above paragraph may have to be adapted. </w:t>
      </w:r>
    </w:p>
    <w:p w:rsidR="00FC23C7" w:rsidRDefault="00FC23C7" w:rsidP="00F11FB4"/>
    <w:p w:rsidR="00C146F3" w:rsidRDefault="00C146F3" w:rsidP="00C146F3">
      <w:pPr>
        <w:pStyle w:val="Heading4"/>
        <w:numPr>
          <w:ilvl w:val="0"/>
          <w:numId w:val="0"/>
        </w:numPr>
        <w:ind w:left="864" w:hanging="864"/>
      </w:pPr>
      <w:bookmarkStart w:id="7" w:name="_Toc292121662"/>
      <w:proofErr w:type="gramStart"/>
      <w:r>
        <w:t>6.x.2.2</w:t>
      </w:r>
      <w:proofErr w:type="gramEnd"/>
      <w:r>
        <w:tab/>
      </w:r>
      <w:bookmarkEnd w:id="7"/>
      <w:r w:rsidR="00E43CCC">
        <w:t>Key derivation rules</w:t>
      </w:r>
    </w:p>
    <w:p w:rsidR="00C146F3" w:rsidRDefault="00B819B4" w:rsidP="00C146F3">
      <w:r>
        <w:t xml:space="preserve">As for solution#1, the present solution uses a new key pair CK‘, IK’for UMTS PS or GPRS access security between UE and SGSN. </w:t>
      </w:r>
      <w:r w:rsidR="00F0509C">
        <w:t>For EPS, K</w:t>
      </w:r>
      <w:r w:rsidR="00F0509C" w:rsidRPr="00F0509C">
        <w:rPr>
          <w:vertAlign w:val="subscript"/>
        </w:rPr>
        <w:t>ASME</w:t>
      </w:r>
      <w:r w:rsidR="00F0509C">
        <w:t xml:space="preserve"> can be re-used as defined today. </w:t>
      </w:r>
    </w:p>
    <w:p w:rsidR="00F0509C" w:rsidRDefault="00F0509C" w:rsidP="00C146F3">
      <w:r>
        <w:lastRenderedPageBreak/>
        <w:t>The present solution differs from solution#1 in the derivation of the additional user plane key. In solution#1, this key is called “</w:t>
      </w:r>
      <w:r w:rsidRPr="00F0509C">
        <w:rPr>
          <w:lang w:val="en-US"/>
        </w:rPr>
        <w:t>E2E CK/IK</w:t>
      </w:r>
      <w:r>
        <w:t>”. It is used between UE and HSE. In the present solution, this key is called “e2m_key”. It is used between UE and</w:t>
      </w:r>
      <w:r w:rsidR="00DD18C6">
        <w:t xml:space="preserve"> EMSE. As there may be multiple</w:t>
      </w:r>
      <w:r>
        <w:t xml:space="preserve"> instances of EMSE it becomes necessary to include an identifier of the EMSE in the key derivation in order to achieve key separation between EMSEs. Furthermore, it is proposed to also include a string pointing to the purpose of the key use, namely e2m security for CIoT. We therefore propose the following key derivation rule: </w:t>
      </w:r>
    </w:p>
    <w:p w:rsidR="00F0509C" w:rsidRDefault="00F0509C" w:rsidP="00983051">
      <w:pPr>
        <w:jc w:val="center"/>
      </w:pPr>
      <w:r>
        <w:t>e2m_key = KDF (CK, IK, EMSE_Id, “e2m_</w:t>
      </w:r>
      <w:r w:rsidRPr="00F0509C">
        <w:t xml:space="preserve"> </w:t>
      </w:r>
      <w:r>
        <w:t>CIoT”)</w:t>
      </w:r>
    </w:p>
    <w:p w:rsidR="00E43CCC" w:rsidRDefault="00C146F3" w:rsidP="00C146F3">
      <w:pPr>
        <w:pStyle w:val="Heading4"/>
        <w:numPr>
          <w:ilvl w:val="0"/>
          <w:numId w:val="0"/>
        </w:numPr>
        <w:ind w:left="864" w:hanging="864"/>
      </w:pPr>
      <w:bookmarkStart w:id="8" w:name="_Toc292121664"/>
      <w:proofErr w:type="gramStart"/>
      <w:r>
        <w:t>6.x</w:t>
      </w:r>
      <w:r w:rsidR="00E43CCC">
        <w:t>.2.3</w:t>
      </w:r>
      <w:proofErr w:type="gramEnd"/>
      <w:r>
        <w:tab/>
      </w:r>
      <w:r w:rsidR="00E43CCC">
        <w:t>Security policies</w:t>
      </w:r>
    </w:p>
    <w:p w:rsidR="007B5BC7" w:rsidRPr="007B5BC7" w:rsidRDefault="007B5BC7" w:rsidP="007B5BC7">
      <w:pPr>
        <w:rPr>
          <w:b/>
        </w:rPr>
      </w:pPr>
      <w:r w:rsidRPr="007B5BC7">
        <w:rPr>
          <w:b/>
        </w:rPr>
        <w:t>Authentication and key usage policy</w:t>
      </w:r>
    </w:p>
    <w:p w:rsidR="007B5BC7" w:rsidRDefault="007B5BC7" w:rsidP="009F5FC3">
      <w:r w:rsidRPr="007B5BC7">
        <w:t xml:space="preserve">There </w:t>
      </w:r>
      <w:r>
        <w:t xml:space="preserve">is a clause on </w:t>
      </w:r>
      <w:r w:rsidRPr="007B5BC7">
        <w:t>authentication and key usage policy</w:t>
      </w:r>
      <w:r>
        <w:t xml:space="preserve"> for solution#1. The idea is that the battery lifetime of CIoT devices could benefit from a reduced authentication frequency and, hence, a prolonged lifetime of keys. The visited network cannot know about the need for a CIoT-specific </w:t>
      </w:r>
      <w:r w:rsidRPr="007B5BC7">
        <w:t>authentication and key usage</w:t>
      </w:r>
      <w:r>
        <w:t xml:space="preserve"> </w:t>
      </w:r>
      <w:r w:rsidRPr="007B5BC7">
        <w:t>policy</w:t>
      </w:r>
      <w:r>
        <w:t xml:space="preserve">. It needs to be told by the home network.  </w:t>
      </w:r>
    </w:p>
    <w:p w:rsidR="007B5BC7" w:rsidRDefault="007B5BC7" w:rsidP="007B5BC7">
      <w:r>
        <w:t xml:space="preserve"> It is proposed</w:t>
      </w:r>
      <w:r w:rsidR="004B620C">
        <w:t xml:space="preserve"> to</w:t>
      </w:r>
      <w:r>
        <w:t xml:space="preserve"> </w:t>
      </w:r>
      <w:r w:rsidR="004B620C">
        <w:t>include</w:t>
      </w:r>
      <w:r>
        <w:t xml:space="preserve"> a new field in the GPRS, 3G or 4G subscriber profiles that determines the authentication </w:t>
      </w:r>
      <w:r w:rsidRPr="007B5BC7">
        <w:t xml:space="preserve">and key usage </w:t>
      </w:r>
      <w:r>
        <w:t xml:space="preserve">policy required for </w:t>
      </w:r>
      <w:r w:rsidR="00A031E7">
        <w:t>CIoT</w:t>
      </w:r>
      <w:r>
        <w:t xml:space="preserve"> subscriber</w:t>
      </w:r>
      <w:r w:rsidR="00A031E7">
        <w:t>s</w:t>
      </w:r>
      <w:r>
        <w:t xml:space="preserve">. Including this information in the subscriber profile has two benefits: </w:t>
      </w:r>
    </w:p>
    <w:p w:rsidR="007B5BC7" w:rsidRDefault="007B5BC7" w:rsidP="007B5BC7">
      <w:pPr>
        <w:pStyle w:val="ListParagraph"/>
        <w:numPr>
          <w:ilvl w:val="0"/>
          <w:numId w:val="26"/>
        </w:numPr>
      </w:pPr>
      <w:r>
        <w:t>The specifications of the interfaces between serving node and HLR or HSS need not be modified as subscriber profiles can be carried over these interfaces today.</w:t>
      </w:r>
    </w:p>
    <w:p w:rsidR="007B5BC7" w:rsidRDefault="007B5BC7" w:rsidP="007B5BC7">
      <w:pPr>
        <w:pStyle w:val="ListParagraph"/>
        <w:numPr>
          <w:ilvl w:val="0"/>
          <w:numId w:val="26"/>
        </w:numPr>
      </w:pPr>
      <w:r>
        <w:t>The solution can remain transparent for core network nodes as an SGSN or an MME that does not understand the new field in the subscriber profile simply ignores it.</w:t>
      </w:r>
    </w:p>
    <w:p w:rsidR="0036776C" w:rsidRDefault="0036776C" w:rsidP="0036776C">
      <w:pPr>
        <w:pStyle w:val="NW"/>
        <w:rPr>
          <w:i/>
          <w:color w:val="FF0000"/>
        </w:rPr>
      </w:pPr>
      <w:r w:rsidRPr="00D85F99">
        <w:rPr>
          <w:i/>
          <w:color w:val="FF0000"/>
        </w:rPr>
        <w:t xml:space="preserve">Editor’s note: </w:t>
      </w:r>
      <w:r>
        <w:rPr>
          <w:i/>
          <w:color w:val="FF0000"/>
        </w:rPr>
        <w:t>The clause on</w:t>
      </w:r>
      <w:r w:rsidRPr="00D85F99">
        <w:rPr>
          <w:i/>
          <w:color w:val="FF0000"/>
        </w:rPr>
        <w:t xml:space="preserve"> authentication policy and key usage policy </w:t>
      </w:r>
      <w:r>
        <w:rPr>
          <w:i/>
          <w:color w:val="FF0000"/>
        </w:rPr>
        <w:t xml:space="preserve">for solution#1 currently contains only Editor’s notes. The above text may have to be adapted after these Editor’s notes have been resolved. </w:t>
      </w:r>
    </w:p>
    <w:p w:rsidR="0036776C" w:rsidRPr="00D85F99" w:rsidRDefault="0036776C" w:rsidP="0036776C">
      <w:pPr>
        <w:pStyle w:val="NW"/>
        <w:ind w:left="0" w:firstLine="0"/>
        <w:rPr>
          <w:i/>
          <w:color w:val="FF0000"/>
        </w:rPr>
      </w:pPr>
    </w:p>
    <w:p w:rsidR="007B5BC7" w:rsidRDefault="007B5BC7" w:rsidP="007B5BC7">
      <w:pPr>
        <w:rPr>
          <w:b/>
        </w:rPr>
      </w:pPr>
      <w:r w:rsidRPr="00A80035">
        <w:rPr>
          <w:b/>
        </w:rPr>
        <w:t>Crypto policy in the GPRS access network</w:t>
      </w:r>
    </w:p>
    <w:p w:rsidR="00A031E7" w:rsidRDefault="00057F4A" w:rsidP="00A031E7">
      <w:r>
        <w:t xml:space="preserve">Some CIoT use cases may require enhanced 2G radio access security (while others may not). (For UMTS and EPS, access security is sufficiently good today.) So, the need for it is subscriber-specific. </w:t>
      </w:r>
      <w:r w:rsidR="00A031E7">
        <w:t xml:space="preserve">It is therefore proposed to include a new field in the GPRS subscriber profiles that determines the minimum requirements on cryptographic algorithms to be used between UE and SGSN for CIoT subscribers. </w:t>
      </w:r>
    </w:p>
    <w:p w:rsidR="00A031E7" w:rsidRDefault="00A031E7" w:rsidP="00A031E7">
      <w:r>
        <w:t xml:space="preserve">Including this information in the subscriber profile has the same benefits as for the previous point. </w:t>
      </w:r>
    </w:p>
    <w:p w:rsidR="007B5BC7" w:rsidRDefault="00A031E7" w:rsidP="007B5BC7">
      <w:pPr>
        <w:rPr>
          <w:b/>
        </w:rPr>
      </w:pPr>
      <w:r>
        <w:rPr>
          <w:b/>
        </w:rPr>
        <w:t>Usage of e2m security</w:t>
      </w:r>
    </w:p>
    <w:p w:rsidR="00A031E7" w:rsidRDefault="00A031E7" w:rsidP="007B5BC7">
      <w:r w:rsidRPr="00A031E7">
        <w:t xml:space="preserve">Solution#1 mentions the use of a, yet to be specified, bit in the Authentication Management Field (AMF) to indicate to the UE whether the UE has to derive the keys CK’ and IK’ for access security. </w:t>
      </w:r>
      <w:r>
        <w:t xml:space="preserve">The information on whether this specific AMF-bit is to be set or not needs to be fed into the Authentication Centre. How this information is stored and fed into the AuC does not need to be standardised from an interoperability point of view. However, it may be beneficial to do so for HSS or HLR vendors as standardisation would reduce the number of implementation variants requested by customers. </w:t>
      </w:r>
    </w:p>
    <w:p w:rsidR="00A031E7" w:rsidRDefault="00A031E7" w:rsidP="007B5BC7">
      <w:r>
        <w:t xml:space="preserve">As the information on whether this specific AMF-bit is to be set is subscriber-specific it should be stored in the subscriber records. However, it is not part of the subscriber profile that is sent to the serving node. </w:t>
      </w:r>
    </w:p>
    <w:p w:rsidR="00C146F3" w:rsidRDefault="00C146F3" w:rsidP="00A031E7">
      <w:pPr>
        <w:pStyle w:val="Heading3"/>
        <w:numPr>
          <w:ilvl w:val="0"/>
          <w:numId w:val="0"/>
        </w:numPr>
      </w:pPr>
      <w:bookmarkStart w:id="9" w:name="_Toc414982532"/>
      <w:bookmarkStart w:id="10" w:name="_Toc292121665"/>
      <w:bookmarkEnd w:id="8"/>
      <w:proofErr w:type="gramStart"/>
      <w:r>
        <w:t>6.x.3</w:t>
      </w:r>
      <w:proofErr w:type="gramEnd"/>
      <w:r>
        <w:tab/>
        <w:t>Solution evaluation</w:t>
      </w:r>
      <w:bookmarkEnd w:id="9"/>
      <w:bookmarkEnd w:id="10"/>
    </w:p>
    <w:p w:rsidR="00C146F3" w:rsidRPr="00D85F99" w:rsidRDefault="00C146F3" w:rsidP="00C146F3">
      <w:pPr>
        <w:pStyle w:val="NW"/>
        <w:rPr>
          <w:i/>
          <w:color w:val="FF0000"/>
        </w:rPr>
      </w:pPr>
      <w:r w:rsidRPr="00D85F99">
        <w:rPr>
          <w:i/>
          <w:color w:val="FF0000"/>
        </w:rPr>
        <w:t>Editor’s note: FFS</w:t>
      </w:r>
    </w:p>
    <w:p w:rsidR="00C146F3" w:rsidRDefault="00C146F3" w:rsidP="0017193E">
      <w:pPr>
        <w:rPr>
          <w:sz w:val="28"/>
          <w:szCs w:val="28"/>
        </w:rPr>
      </w:pPr>
    </w:p>
    <w:p w:rsidR="0017193E" w:rsidRPr="0017193E" w:rsidRDefault="0017193E" w:rsidP="0017193E">
      <w:pPr>
        <w:rPr>
          <w:sz w:val="28"/>
          <w:szCs w:val="28"/>
        </w:rPr>
      </w:pPr>
      <w:r w:rsidRPr="0017193E">
        <w:rPr>
          <w:sz w:val="28"/>
          <w:szCs w:val="28"/>
        </w:rPr>
        <w:t>***********************</w:t>
      </w:r>
      <w:r>
        <w:rPr>
          <w:sz w:val="28"/>
          <w:szCs w:val="28"/>
        </w:rPr>
        <w:t>END OF CHANGES*********</w:t>
      </w:r>
      <w:r w:rsidRPr="0017193E">
        <w:rPr>
          <w:sz w:val="28"/>
          <w:szCs w:val="28"/>
        </w:rPr>
        <w:t>************</w:t>
      </w:r>
    </w:p>
    <w:p w:rsidR="0017193E" w:rsidRPr="0017193E" w:rsidRDefault="0017193E" w:rsidP="0017193E"/>
    <w:sectPr w:rsidR="0017193E" w:rsidRPr="0017193E"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FF2" w:rsidRDefault="00666FF2" w:rsidP="00AB6FEB">
      <w:pPr>
        <w:spacing w:after="0"/>
      </w:pPr>
      <w:r>
        <w:separator/>
      </w:r>
    </w:p>
  </w:endnote>
  <w:endnote w:type="continuationSeparator" w:id="0">
    <w:p w:rsidR="00666FF2" w:rsidRDefault="00666FF2"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FF2" w:rsidRDefault="00666FF2" w:rsidP="00AB6FEB">
      <w:pPr>
        <w:spacing w:after="0"/>
      </w:pPr>
      <w:r>
        <w:separator/>
      </w:r>
    </w:p>
  </w:footnote>
  <w:footnote w:type="continuationSeparator" w:id="0">
    <w:p w:rsidR="00666FF2" w:rsidRDefault="00666FF2"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70A42"/>
    <w:multiLevelType w:val="hybridMultilevel"/>
    <w:tmpl w:val="6AF6B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3815E5"/>
    <w:multiLevelType w:val="hybridMultilevel"/>
    <w:tmpl w:val="56268714"/>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2014FF"/>
    <w:multiLevelType w:val="hybridMultilevel"/>
    <w:tmpl w:val="80AA6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7208006C"/>
    <w:multiLevelType w:val="hybridMultilevel"/>
    <w:tmpl w:val="C3D2C44E"/>
    <w:lvl w:ilvl="0" w:tplc="C56421DE">
      <w:start w:val="2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3"/>
  </w:num>
  <w:num w:numId="6">
    <w:abstractNumId w:val="9"/>
  </w:num>
  <w:num w:numId="7">
    <w:abstractNumId w:val="8"/>
  </w:num>
  <w:num w:numId="8">
    <w:abstractNumId w:val="10"/>
  </w:num>
  <w:num w:numId="9">
    <w:abstractNumId w:val="6"/>
  </w:num>
  <w:num w:numId="10">
    <w:abstractNumId w:val="16"/>
  </w:num>
  <w:num w:numId="11">
    <w:abstractNumId w:val="17"/>
  </w:num>
  <w:num w:numId="12">
    <w:abstractNumId w:val="15"/>
  </w:num>
  <w:num w:numId="13">
    <w:abstractNumId w:val="18"/>
  </w:num>
  <w:num w:numId="14">
    <w:abstractNumId w:val="5"/>
  </w:num>
  <w:num w:numId="15">
    <w:abstractNumId w:val="4"/>
  </w:num>
  <w:num w:numId="16">
    <w:abstractNumId w:val="12"/>
  </w:num>
  <w:num w:numId="17">
    <w:abstractNumId w:val="24"/>
  </w:num>
  <w:num w:numId="18">
    <w:abstractNumId w:val="25"/>
  </w:num>
  <w:num w:numId="19">
    <w:abstractNumId w:val="19"/>
  </w:num>
  <w:num w:numId="20">
    <w:abstractNumId w:val="21"/>
  </w:num>
  <w:num w:numId="21">
    <w:abstractNumId w:val="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
  </w:num>
  <w:num w:numId="25">
    <w:abstractNumId w:val="23"/>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69634"/>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57F4A"/>
    <w:rsid w:val="0006221D"/>
    <w:rsid w:val="00066534"/>
    <w:rsid w:val="00093510"/>
    <w:rsid w:val="0009512E"/>
    <w:rsid w:val="000A0E85"/>
    <w:rsid w:val="000A155B"/>
    <w:rsid w:val="000C3C8A"/>
    <w:rsid w:val="000E4A79"/>
    <w:rsid w:val="000E7880"/>
    <w:rsid w:val="00117B1D"/>
    <w:rsid w:val="00134A6F"/>
    <w:rsid w:val="001378DB"/>
    <w:rsid w:val="00157CE6"/>
    <w:rsid w:val="00170396"/>
    <w:rsid w:val="00170B7C"/>
    <w:rsid w:val="00170D56"/>
    <w:rsid w:val="0017193E"/>
    <w:rsid w:val="00186921"/>
    <w:rsid w:val="0018764E"/>
    <w:rsid w:val="00197A1B"/>
    <w:rsid w:val="001F2E9F"/>
    <w:rsid w:val="002021C0"/>
    <w:rsid w:val="0021246E"/>
    <w:rsid w:val="0026622E"/>
    <w:rsid w:val="00266D4F"/>
    <w:rsid w:val="00281E88"/>
    <w:rsid w:val="002909FA"/>
    <w:rsid w:val="0029102E"/>
    <w:rsid w:val="002D23BB"/>
    <w:rsid w:val="002E621F"/>
    <w:rsid w:val="002E7141"/>
    <w:rsid w:val="002F07BF"/>
    <w:rsid w:val="002F2B15"/>
    <w:rsid w:val="002F5D22"/>
    <w:rsid w:val="00337CAD"/>
    <w:rsid w:val="0036776C"/>
    <w:rsid w:val="00375EB2"/>
    <w:rsid w:val="003936B3"/>
    <w:rsid w:val="00395CF7"/>
    <w:rsid w:val="003E32F5"/>
    <w:rsid w:val="00403D5B"/>
    <w:rsid w:val="004128AF"/>
    <w:rsid w:val="0042310E"/>
    <w:rsid w:val="004648D8"/>
    <w:rsid w:val="00470FF5"/>
    <w:rsid w:val="00481B0E"/>
    <w:rsid w:val="0048699C"/>
    <w:rsid w:val="004918A8"/>
    <w:rsid w:val="004A61BA"/>
    <w:rsid w:val="004A7B7F"/>
    <w:rsid w:val="004B620C"/>
    <w:rsid w:val="004D3B38"/>
    <w:rsid w:val="004F6F00"/>
    <w:rsid w:val="00520636"/>
    <w:rsid w:val="005422AE"/>
    <w:rsid w:val="00557F36"/>
    <w:rsid w:val="00564932"/>
    <w:rsid w:val="0058347C"/>
    <w:rsid w:val="00593FA3"/>
    <w:rsid w:val="005A02E3"/>
    <w:rsid w:val="005B4ECD"/>
    <w:rsid w:val="005B7F0C"/>
    <w:rsid w:val="005D45A6"/>
    <w:rsid w:val="005E3E7D"/>
    <w:rsid w:val="00602DE5"/>
    <w:rsid w:val="006411F3"/>
    <w:rsid w:val="00651857"/>
    <w:rsid w:val="00666FF2"/>
    <w:rsid w:val="00671F3E"/>
    <w:rsid w:val="0067296D"/>
    <w:rsid w:val="006A08A3"/>
    <w:rsid w:val="006A2C31"/>
    <w:rsid w:val="006A3312"/>
    <w:rsid w:val="006A5339"/>
    <w:rsid w:val="006B023A"/>
    <w:rsid w:val="006C5F57"/>
    <w:rsid w:val="006D4E58"/>
    <w:rsid w:val="0072341E"/>
    <w:rsid w:val="00740D9F"/>
    <w:rsid w:val="00767BD3"/>
    <w:rsid w:val="00781505"/>
    <w:rsid w:val="00790C3D"/>
    <w:rsid w:val="007928AD"/>
    <w:rsid w:val="007962E7"/>
    <w:rsid w:val="007B5BC7"/>
    <w:rsid w:val="007C09F0"/>
    <w:rsid w:val="007C2083"/>
    <w:rsid w:val="007C60D9"/>
    <w:rsid w:val="00814CC0"/>
    <w:rsid w:val="0082158B"/>
    <w:rsid w:val="00852D13"/>
    <w:rsid w:val="00871947"/>
    <w:rsid w:val="00887451"/>
    <w:rsid w:val="00893FFA"/>
    <w:rsid w:val="008B5706"/>
    <w:rsid w:val="008C6CA1"/>
    <w:rsid w:val="008D0635"/>
    <w:rsid w:val="008E64DA"/>
    <w:rsid w:val="00907FED"/>
    <w:rsid w:val="00912B0E"/>
    <w:rsid w:val="00934FA4"/>
    <w:rsid w:val="009463EE"/>
    <w:rsid w:val="00963254"/>
    <w:rsid w:val="00972DCD"/>
    <w:rsid w:val="00977D9F"/>
    <w:rsid w:val="00983051"/>
    <w:rsid w:val="00985665"/>
    <w:rsid w:val="00992F3C"/>
    <w:rsid w:val="009C2D01"/>
    <w:rsid w:val="009F5FC3"/>
    <w:rsid w:val="00A031E7"/>
    <w:rsid w:val="00A064B7"/>
    <w:rsid w:val="00A428A1"/>
    <w:rsid w:val="00A61674"/>
    <w:rsid w:val="00A71C21"/>
    <w:rsid w:val="00A736AA"/>
    <w:rsid w:val="00A7702A"/>
    <w:rsid w:val="00A774B6"/>
    <w:rsid w:val="00A81663"/>
    <w:rsid w:val="00A9422A"/>
    <w:rsid w:val="00AA15D2"/>
    <w:rsid w:val="00AB6FEB"/>
    <w:rsid w:val="00AC673E"/>
    <w:rsid w:val="00AD06A6"/>
    <w:rsid w:val="00AE38BC"/>
    <w:rsid w:val="00B11688"/>
    <w:rsid w:val="00B13453"/>
    <w:rsid w:val="00B3117E"/>
    <w:rsid w:val="00B37380"/>
    <w:rsid w:val="00B43EAA"/>
    <w:rsid w:val="00B55060"/>
    <w:rsid w:val="00B55FC3"/>
    <w:rsid w:val="00B73816"/>
    <w:rsid w:val="00B819B4"/>
    <w:rsid w:val="00B94E2C"/>
    <w:rsid w:val="00BA1D38"/>
    <w:rsid w:val="00BE4961"/>
    <w:rsid w:val="00C146F3"/>
    <w:rsid w:val="00C24419"/>
    <w:rsid w:val="00C26CE2"/>
    <w:rsid w:val="00C45437"/>
    <w:rsid w:val="00C81E70"/>
    <w:rsid w:val="00CA3A18"/>
    <w:rsid w:val="00CC1123"/>
    <w:rsid w:val="00CC4AC4"/>
    <w:rsid w:val="00CC526D"/>
    <w:rsid w:val="00CE190E"/>
    <w:rsid w:val="00D01F5F"/>
    <w:rsid w:val="00D035AE"/>
    <w:rsid w:val="00D06B90"/>
    <w:rsid w:val="00D55093"/>
    <w:rsid w:val="00D72FD2"/>
    <w:rsid w:val="00D839D8"/>
    <w:rsid w:val="00D9658A"/>
    <w:rsid w:val="00DA2F20"/>
    <w:rsid w:val="00DB18FA"/>
    <w:rsid w:val="00DC58B8"/>
    <w:rsid w:val="00DC6251"/>
    <w:rsid w:val="00DD18C6"/>
    <w:rsid w:val="00DD79F3"/>
    <w:rsid w:val="00E3734C"/>
    <w:rsid w:val="00E43CCC"/>
    <w:rsid w:val="00E46715"/>
    <w:rsid w:val="00E6565D"/>
    <w:rsid w:val="00E84A06"/>
    <w:rsid w:val="00EA5FCD"/>
    <w:rsid w:val="00EB4782"/>
    <w:rsid w:val="00ED0B69"/>
    <w:rsid w:val="00EE65A8"/>
    <w:rsid w:val="00F04E87"/>
    <w:rsid w:val="00F0509C"/>
    <w:rsid w:val="00F11FB4"/>
    <w:rsid w:val="00F12E24"/>
    <w:rsid w:val="00F23024"/>
    <w:rsid w:val="00F33C0E"/>
    <w:rsid w:val="00F64D08"/>
    <w:rsid w:val="00F715F3"/>
    <w:rsid w:val="00FA2816"/>
    <w:rsid w:val="00FA7133"/>
    <w:rsid w:val="00FB40BE"/>
    <w:rsid w:val="00FC23C7"/>
    <w:rsid w:val="00FC3886"/>
    <w:rsid w:val="00FD29DC"/>
    <w:rsid w:val="00FD3023"/>
    <w:rsid w:val="00FD4E8B"/>
    <w:rsid w:val="00FD6F8F"/>
    <w:rsid w:val="00FF0692"/>
    <w:rsid w:val="00FF6B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 w:type="paragraph" w:customStyle="1" w:styleId="B1">
    <w:name w:val="B1"/>
    <w:basedOn w:val="List"/>
    <w:link w:val="B1Char"/>
    <w:rsid w:val="0017193E"/>
    <w:pPr>
      <w:overflowPunct w:val="0"/>
      <w:autoSpaceDE w:val="0"/>
      <w:autoSpaceDN w:val="0"/>
      <w:adjustRightInd w:val="0"/>
      <w:ind w:left="568" w:hanging="284"/>
      <w:contextualSpacing w:val="0"/>
      <w:textAlignment w:val="baseline"/>
    </w:pPr>
  </w:style>
  <w:style w:type="character" w:customStyle="1" w:styleId="B1Char">
    <w:name w:val="B1 Char"/>
    <w:link w:val="B1"/>
    <w:rsid w:val="0017193E"/>
    <w:rPr>
      <w:rFonts w:ascii="Times New Roman" w:eastAsia="Times New Roman" w:hAnsi="Times New Roman" w:cs="Times New Roman"/>
      <w:sz w:val="20"/>
      <w:szCs w:val="20"/>
    </w:rPr>
  </w:style>
  <w:style w:type="paragraph" w:styleId="List">
    <w:name w:val="List"/>
    <w:basedOn w:val="Normal"/>
    <w:uiPriority w:val="99"/>
    <w:semiHidden/>
    <w:unhideWhenUsed/>
    <w:rsid w:val="0017193E"/>
    <w:pPr>
      <w:ind w:left="283" w:hanging="283"/>
      <w:contextualSpacing/>
    </w:pPr>
  </w:style>
  <w:style w:type="paragraph" w:customStyle="1" w:styleId="NW">
    <w:name w:val="NW"/>
    <w:basedOn w:val="NO"/>
    <w:rsid w:val="00C146F3"/>
    <w:pPr>
      <w:overflowPunct/>
      <w:autoSpaceDE/>
      <w:autoSpaceDN/>
      <w:adjustRightInd/>
      <w:spacing w:after="0"/>
    </w:pPr>
    <w:rPr>
      <w:rFonts w:ascii="Times New Roman" w:eastAsia="Times New Roman" w:hAnsi="Times New Roman" w:cs="Times New Roman"/>
      <w:sz w:val="20"/>
      <w:szCs w:val="20"/>
    </w:rPr>
  </w:style>
  <w:style w:type="paragraph" w:customStyle="1" w:styleId="TH">
    <w:name w:val="TH"/>
    <w:basedOn w:val="Normal"/>
    <w:link w:val="THChar"/>
    <w:rsid w:val="00C146F3"/>
    <w:pPr>
      <w:keepNext/>
      <w:keepLines/>
      <w:spacing w:before="60"/>
      <w:jc w:val="center"/>
    </w:pPr>
    <w:rPr>
      <w:rFonts w:ascii="Arial" w:hAnsi="Arial"/>
      <w:b/>
    </w:rPr>
  </w:style>
  <w:style w:type="paragraph" w:customStyle="1" w:styleId="TF">
    <w:name w:val="TF"/>
    <w:basedOn w:val="TH"/>
    <w:rsid w:val="00C146F3"/>
    <w:pPr>
      <w:keepNext w:val="0"/>
      <w:spacing w:before="0" w:after="240"/>
    </w:pPr>
  </w:style>
  <w:style w:type="paragraph" w:customStyle="1" w:styleId="B2">
    <w:name w:val="B2"/>
    <w:basedOn w:val="List2"/>
    <w:rsid w:val="00C146F3"/>
    <w:pPr>
      <w:ind w:left="851" w:hanging="284"/>
      <w:contextualSpacing w:val="0"/>
    </w:pPr>
  </w:style>
  <w:style w:type="character" w:customStyle="1" w:styleId="THChar">
    <w:name w:val="TH Char"/>
    <w:link w:val="TH"/>
    <w:rsid w:val="00C146F3"/>
    <w:rPr>
      <w:rFonts w:ascii="Arial" w:eastAsia="Times New Roman" w:hAnsi="Arial" w:cs="Times New Roman"/>
      <w:b/>
      <w:sz w:val="20"/>
      <w:szCs w:val="20"/>
      <w:lang w:val="en-GB"/>
    </w:rPr>
  </w:style>
  <w:style w:type="paragraph" w:styleId="List2">
    <w:name w:val="List 2"/>
    <w:basedOn w:val="Normal"/>
    <w:uiPriority w:val="99"/>
    <w:semiHidden/>
    <w:unhideWhenUsed/>
    <w:rsid w:val="00C146F3"/>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888239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29914517">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84428144">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49154879">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62363-B764-42CB-BD4A-ECABEFBD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1319</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2015-08-15T14:31:00Z</dcterms:created>
  <dcterms:modified xsi:type="dcterms:W3CDTF">2015-08-15T14:31:00Z</dcterms:modified>
</cp:coreProperties>
</file>